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3D93B" w14:textId="1DCD99DB" w:rsidR="00474FB5" w:rsidRDefault="00C45712" w:rsidP="00C45712">
      <w:pPr>
        <w:jc w:val="center"/>
        <w:rPr>
          <w:b/>
          <w:bCs/>
          <w:u w:val="single"/>
        </w:rPr>
      </w:pPr>
      <w:r>
        <w:rPr>
          <w:b/>
          <w:bCs/>
          <w:u w:val="single"/>
        </w:rPr>
        <w:t>DISCOVERY</w:t>
      </w:r>
      <w:r w:rsidR="000950CC">
        <w:rPr>
          <w:b/>
          <w:bCs/>
          <w:u w:val="single"/>
        </w:rPr>
        <w:t>:  GOOD FAITH—GOOD PRACTICES</w:t>
      </w:r>
    </w:p>
    <w:p w14:paraId="73942216" w14:textId="776D1101" w:rsidR="000950CC" w:rsidRDefault="000950CC" w:rsidP="00C45712">
      <w:pPr>
        <w:jc w:val="center"/>
      </w:pPr>
      <w:r>
        <w:rPr>
          <w:b/>
          <w:bCs/>
          <w:u w:val="single"/>
        </w:rPr>
        <w:t>By John Tatlock and Luke Abraham</w:t>
      </w:r>
    </w:p>
    <w:p w14:paraId="2F535588" w14:textId="1E0FE956" w:rsidR="001B5112" w:rsidRDefault="001B5112" w:rsidP="00C45712"/>
    <w:p w14:paraId="63774E90" w14:textId="555F1E3B" w:rsidR="000950CC" w:rsidRPr="00B81D00" w:rsidRDefault="000950CC" w:rsidP="00C45712">
      <w:pPr>
        <w:rPr>
          <w:b/>
          <w:bCs/>
        </w:rPr>
      </w:pPr>
      <w:r w:rsidRPr="00B81D00">
        <w:rPr>
          <w:b/>
          <w:bCs/>
        </w:rPr>
        <w:t>INTRODUCTION</w:t>
      </w:r>
    </w:p>
    <w:p w14:paraId="2772D555" w14:textId="33AAE041" w:rsidR="000950CC" w:rsidRDefault="000950CC" w:rsidP="000950CC">
      <w:pPr>
        <w:pStyle w:val="ListParagraph"/>
        <w:numPr>
          <w:ilvl w:val="0"/>
          <w:numId w:val="5"/>
        </w:numPr>
      </w:pPr>
      <w:r>
        <w:t xml:space="preserve">Scenarios </w:t>
      </w:r>
    </w:p>
    <w:p w14:paraId="22AEECB0" w14:textId="31035471" w:rsidR="000950CC" w:rsidRPr="00B81D00" w:rsidRDefault="000950CC" w:rsidP="00C45712">
      <w:pPr>
        <w:rPr>
          <w:b/>
          <w:bCs/>
        </w:rPr>
      </w:pPr>
      <w:r w:rsidRPr="00B81D00">
        <w:rPr>
          <w:b/>
          <w:bCs/>
        </w:rPr>
        <w:t xml:space="preserve">THE PLAYING FIELD </w:t>
      </w:r>
    </w:p>
    <w:p w14:paraId="7DC49353" w14:textId="42DA3D6F" w:rsidR="000950CC" w:rsidRDefault="00DC6126" w:rsidP="00C42DE7">
      <w:pPr>
        <w:pStyle w:val="ListParagraph"/>
        <w:numPr>
          <w:ilvl w:val="0"/>
          <w:numId w:val="4"/>
        </w:numPr>
        <w:rPr>
          <w:b/>
          <w:bCs/>
        </w:rPr>
      </w:pPr>
      <w:r>
        <w:rPr>
          <w:b/>
          <w:bCs/>
        </w:rPr>
        <w:t xml:space="preserve">C.R.C.P. 1(a) </w:t>
      </w:r>
      <w:r w:rsidRPr="00921E38">
        <w:t>“These rules shall be liberally construed, administered, and employed by the court and the parties to secure the just, speedy, and inexpensive determination of every action.”</w:t>
      </w:r>
    </w:p>
    <w:p w14:paraId="4973A7B6" w14:textId="77777777" w:rsidR="00B81D00" w:rsidRDefault="00B81D00" w:rsidP="00B81D00">
      <w:pPr>
        <w:pStyle w:val="ListParagraph"/>
        <w:ind w:left="1080"/>
        <w:rPr>
          <w:b/>
          <w:bCs/>
        </w:rPr>
      </w:pPr>
    </w:p>
    <w:p w14:paraId="59ECDC42" w14:textId="088F881F" w:rsidR="00DC6126" w:rsidRDefault="00DC6126" w:rsidP="00DC6126">
      <w:pPr>
        <w:pStyle w:val="ListParagraph"/>
        <w:numPr>
          <w:ilvl w:val="0"/>
          <w:numId w:val="4"/>
        </w:numPr>
        <w:rPr>
          <w:b/>
          <w:bCs/>
        </w:rPr>
      </w:pPr>
      <w:r w:rsidRPr="00DC6126">
        <w:rPr>
          <w:b/>
          <w:bCs/>
        </w:rPr>
        <w:t>C.R.C.P. 26 through 37 govern discovery</w:t>
      </w:r>
      <w:r>
        <w:rPr>
          <w:b/>
          <w:bCs/>
        </w:rPr>
        <w:t xml:space="preserve"> between the parties</w:t>
      </w:r>
      <w:r w:rsidRPr="00DC6126">
        <w:rPr>
          <w:b/>
          <w:bCs/>
        </w:rPr>
        <w:t>.</w:t>
      </w:r>
      <w:r>
        <w:rPr>
          <w:b/>
          <w:bCs/>
        </w:rPr>
        <w:t xml:space="preserve"> </w:t>
      </w:r>
      <w:r w:rsidRPr="00DC6126">
        <w:rPr>
          <w:b/>
          <w:bCs/>
        </w:rPr>
        <w:t xml:space="preserve"> 16.2 is a carve out.  </w:t>
      </w:r>
    </w:p>
    <w:p w14:paraId="14414D23" w14:textId="58A4718D" w:rsidR="00B81D00" w:rsidRPr="00921E38" w:rsidRDefault="005B3BEE" w:rsidP="00B81D00">
      <w:pPr>
        <w:pStyle w:val="ListParagraph"/>
        <w:numPr>
          <w:ilvl w:val="1"/>
          <w:numId w:val="4"/>
        </w:numPr>
      </w:pPr>
      <w:r>
        <w:rPr>
          <w:b/>
          <w:bCs/>
        </w:rPr>
        <w:t xml:space="preserve">C.R.C.P. 45.   </w:t>
      </w:r>
      <w:r w:rsidRPr="00921E38">
        <w:t xml:space="preserve">Primarily deals with third </w:t>
      </w:r>
      <w:r w:rsidR="00B81D00" w:rsidRPr="00921E38">
        <w:t>parties and</w:t>
      </w:r>
      <w:r w:rsidRPr="00921E38">
        <w:t xml:space="preserve"> cannot be used as a substitute for discovery on a party.  </w:t>
      </w:r>
    </w:p>
    <w:p w14:paraId="2DD56C92" w14:textId="77777777" w:rsidR="00B81D00" w:rsidRPr="00B81D00" w:rsidRDefault="00B81D00" w:rsidP="00B81D00">
      <w:pPr>
        <w:pStyle w:val="ListParagraph"/>
        <w:ind w:left="1800"/>
        <w:rPr>
          <w:b/>
          <w:bCs/>
        </w:rPr>
      </w:pPr>
    </w:p>
    <w:p w14:paraId="5D50FEB4" w14:textId="78914A9B" w:rsidR="005B3BEE" w:rsidRDefault="005B3BEE" w:rsidP="00C42DE7">
      <w:pPr>
        <w:pStyle w:val="ListParagraph"/>
        <w:numPr>
          <w:ilvl w:val="0"/>
          <w:numId w:val="4"/>
        </w:numPr>
        <w:rPr>
          <w:b/>
          <w:bCs/>
        </w:rPr>
      </w:pPr>
      <w:r>
        <w:rPr>
          <w:b/>
          <w:bCs/>
        </w:rPr>
        <w:t xml:space="preserve">C.R.C.P. 16.2   </w:t>
      </w:r>
    </w:p>
    <w:p w14:paraId="493B0115" w14:textId="5DC5BB2A" w:rsidR="00B81D00" w:rsidRPr="00B81D00" w:rsidRDefault="00B81D00" w:rsidP="005B3BEE">
      <w:pPr>
        <w:pStyle w:val="ListParagraph"/>
        <w:numPr>
          <w:ilvl w:val="1"/>
          <w:numId w:val="4"/>
        </w:numPr>
        <w:rPr>
          <w:b/>
          <w:bCs/>
        </w:rPr>
      </w:pPr>
      <w:r>
        <w:t xml:space="preserve">Family Members in Special Relationship and Affirmative Duty </w:t>
      </w:r>
    </w:p>
    <w:p w14:paraId="05AA2BB4" w14:textId="77777777" w:rsidR="00B81D00" w:rsidRPr="00B81D00" w:rsidRDefault="00B81D00" w:rsidP="00B81D00">
      <w:pPr>
        <w:pStyle w:val="ListParagraph"/>
        <w:ind w:left="1800"/>
        <w:rPr>
          <w:b/>
          <w:bCs/>
        </w:rPr>
      </w:pPr>
    </w:p>
    <w:p w14:paraId="693B0327" w14:textId="17F4D00E" w:rsidR="00B81D00" w:rsidRPr="00B81D00" w:rsidRDefault="005B3BEE" w:rsidP="00B81D00">
      <w:pPr>
        <w:pStyle w:val="ListParagraph"/>
        <w:numPr>
          <w:ilvl w:val="2"/>
          <w:numId w:val="4"/>
        </w:numPr>
        <w:rPr>
          <w:b/>
          <w:bCs/>
        </w:rPr>
      </w:pPr>
      <w:r>
        <w:t>C.R.C.P. 16.2 (</w:t>
      </w:r>
      <w:proofErr w:type="gramStart"/>
      <w:r>
        <w:t>a)  “</w:t>
      </w:r>
      <w:proofErr w:type="gramEnd"/>
      <w:r w:rsidRPr="005B3BEE">
        <w:t>Purpose and Scope.</w:t>
      </w:r>
      <w:r>
        <w:t xml:space="preserve">  Family members stand in a special relationship to one another and to the court system.  It is the purpose of Rule 16.2 to provide a uniform procedure for resolution of all issues in domestic relations cases that reduces the negative impact of adversarial litigation wherever possible</w:t>
      </w:r>
    </w:p>
    <w:p w14:paraId="25DE573E" w14:textId="77777777" w:rsidR="00B81D00" w:rsidRPr="00B81D00" w:rsidRDefault="00B81D00" w:rsidP="00B81D00">
      <w:pPr>
        <w:pStyle w:val="ListParagraph"/>
        <w:ind w:left="2520"/>
        <w:rPr>
          <w:b/>
          <w:bCs/>
        </w:rPr>
      </w:pPr>
    </w:p>
    <w:p w14:paraId="51D6595B" w14:textId="1C810605" w:rsidR="00D603FE" w:rsidRPr="00A231B2" w:rsidRDefault="005B3BEE" w:rsidP="00D603FE">
      <w:pPr>
        <w:pStyle w:val="ListParagraph"/>
        <w:numPr>
          <w:ilvl w:val="2"/>
          <w:numId w:val="4"/>
        </w:numPr>
        <w:rPr>
          <w:b/>
          <w:bCs/>
        </w:rPr>
      </w:pPr>
      <w:r w:rsidRPr="00E92695">
        <w:t>C.R.C.P. 16.2(e)(1) Parties owe ea</w:t>
      </w:r>
      <w:r>
        <w:t xml:space="preserve">ch other and the court a duty of </w:t>
      </w:r>
      <w:r w:rsidRPr="00B81D00">
        <w:rPr>
          <w:i/>
          <w:iCs/>
        </w:rPr>
        <w:t>full and honest disclosure of all facts that materially affect their rights and interests and those of the children</w:t>
      </w:r>
      <w:r>
        <w:t xml:space="preserve"> involved in the case, party must </w:t>
      </w:r>
      <w:r w:rsidRPr="00B81D00">
        <w:rPr>
          <w:i/>
          <w:iCs/>
        </w:rPr>
        <w:t>affirmatively</w:t>
      </w:r>
      <w:r>
        <w:t xml:space="preserve"> disclose </w:t>
      </w:r>
      <w:r w:rsidRPr="00B81D00">
        <w:rPr>
          <w:i/>
          <w:iCs/>
        </w:rPr>
        <w:t>all</w:t>
      </w:r>
      <w:r>
        <w:t xml:space="preserve"> information that is material to the resolution of the case </w:t>
      </w:r>
      <w:r w:rsidRPr="00B81D00">
        <w:rPr>
          <w:i/>
          <w:iCs/>
        </w:rPr>
        <w:t>without awaiting</w:t>
      </w:r>
      <w:r>
        <w:t xml:space="preserve"> inquiry from the other party</w:t>
      </w:r>
      <w:r w:rsidR="00D603FE">
        <w:t xml:space="preserve">.  This disclosure shall be conducted in accord with the duty of candor owing among those whose domestic issues are to be resolved under this Rule 16.2.  </w:t>
      </w:r>
    </w:p>
    <w:p w14:paraId="0EB0DEEA" w14:textId="77777777" w:rsidR="00A231B2" w:rsidRPr="00A231B2" w:rsidRDefault="00A231B2" w:rsidP="00A231B2">
      <w:pPr>
        <w:pStyle w:val="ListParagraph"/>
        <w:rPr>
          <w:b/>
          <w:bCs/>
        </w:rPr>
      </w:pPr>
    </w:p>
    <w:p w14:paraId="5EA2B7B8" w14:textId="7399E263" w:rsidR="005B3BEE" w:rsidRDefault="00A231B2" w:rsidP="00D603FE">
      <w:pPr>
        <w:pStyle w:val="ListParagraph"/>
        <w:numPr>
          <w:ilvl w:val="3"/>
          <w:numId w:val="4"/>
        </w:numPr>
      </w:pPr>
      <w:r w:rsidRPr="00A231B2">
        <w:t>Not a client’s mouthpiece.  Obligation to withdraw</w:t>
      </w:r>
    </w:p>
    <w:p w14:paraId="718EF110" w14:textId="77777777" w:rsidR="00A231B2" w:rsidRPr="00A231B2" w:rsidRDefault="00A231B2" w:rsidP="00A231B2">
      <w:pPr>
        <w:pStyle w:val="ListParagraph"/>
        <w:ind w:left="3240"/>
      </w:pPr>
    </w:p>
    <w:p w14:paraId="51DCB7DA" w14:textId="51067126" w:rsidR="00B81D00" w:rsidRPr="00921E38" w:rsidRDefault="00B81D00" w:rsidP="00B81D00">
      <w:pPr>
        <w:pStyle w:val="ListParagraph"/>
        <w:numPr>
          <w:ilvl w:val="0"/>
          <w:numId w:val="4"/>
        </w:numPr>
      </w:pPr>
      <w:r w:rsidRPr="00921E38">
        <w:t>Does this mean that we don’t have do discovery and we can all rely on each other to be totally forthcoming?</w:t>
      </w:r>
      <w:r w:rsidRPr="00921E38">
        <w:rPr>
          <w:noProof/>
        </w:rPr>
        <w:drawing>
          <wp:inline distT="0" distB="0" distL="0" distR="0" wp14:anchorId="736D6BA4" wp14:editId="47C76AFD">
            <wp:extent cx="295275" cy="304800"/>
            <wp:effectExtent l="0" t="0" r="9525" b="0"/>
            <wp:docPr id="1" name="Graphic 1" descr="Angel face outl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Angel face outline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95275" cy="304800"/>
                    </a:xfrm>
                    <a:prstGeom prst="rect">
                      <a:avLst/>
                    </a:prstGeom>
                  </pic:spPr>
                </pic:pic>
              </a:graphicData>
            </a:graphic>
          </wp:inline>
        </w:drawing>
      </w:r>
    </w:p>
    <w:p w14:paraId="069438D6" w14:textId="77777777" w:rsidR="00A231B2" w:rsidRPr="00921E38" w:rsidRDefault="00B81D00" w:rsidP="00A231B2">
      <w:pPr>
        <w:pStyle w:val="ListParagraph"/>
        <w:numPr>
          <w:ilvl w:val="1"/>
          <w:numId w:val="4"/>
        </w:numPr>
      </w:pPr>
      <w:r w:rsidRPr="00921E38">
        <w:t xml:space="preserve">No </w:t>
      </w:r>
      <w:r w:rsidRPr="00921E38">
        <w:rPr>
          <w:noProof/>
        </w:rPr>
        <w:drawing>
          <wp:inline distT="0" distB="0" distL="0" distR="0" wp14:anchorId="15717E22" wp14:editId="6A12FC90">
            <wp:extent cx="219075" cy="219075"/>
            <wp:effectExtent l="0" t="0" r="9525" b="9525"/>
            <wp:docPr id="2" name="Graphic 2" descr="Angry face outl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Angry face outline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19075" cy="219075"/>
                    </a:xfrm>
                    <a:prstGeom prst="rect">
                      <a:avLst/>
                    </a:prstGeom>
                  </pic:spPr>
                </pic:pic>
              </a:graphicData>
            </a:graphic>
          </wp:inline>
        </w:drawing>
      </w:r>
      <w:r w:rsidRPr="00921E38">
        <w:t xml:space="preserve">  </w:t>
      </w:r>
      <w:r w:rsidR="002361CD" w:rsidRPr="00921E38">
        <w:t>What is material is</w:t>
      </w:r>
      <w:r w:rsidR="00D603FE" w:rsidRPr="00921E38">
        <w:t xml:space="preserve"> de</w:t>
      </w:r>
      <w:r w:rsidR="002361CD" w:rsidRPr="00921E38">
        <w:t xml:space="preserve">lineated </w:t>
      </w:r>
      <w:r w:rsidR="00D603FE" w:rsidRPr="00921E38">
        <w:t>by 16.2(e)(2)</w:t>
      </w:r>
      <w:r w:rsidR="002361CD" w:rsidRPr="00921E38">
        <w:t xml:space="preserve">, and most would agree that is not sufficient.  </w:t>
      </w:r>
    </w:p>
    <w:p w14:paraId="38C3B445" w14:textId="77777777" w:rsidR="00A231B2" w:rsidRDefault="00A231B2" w:rsidP="00A231B2">
      <w:pPr>
        <w:rPr>
          <w:b/>
          <w:bCs/>
        </w:rPr>
      </w:pPr>
    </w:p>
    <w:p w14:paraId="18D25123" w14:textId="46E790A2" w:rsidR="00A231B2" w:rsidRDefault="00A231B2" w:rsidP="00A231B2">
      <w:pPr>
        <w:rPr>
          <w:b/>
          <w:bCs/>
        </w:rPr>
      </w:pPr>
      <w:r>
        <w:rPr>
          <w:b/>
          <w:bCs/>
        </w:rPr>
        <w:lastRenderedPageBreak/>
        <w:t>DISCOVERY RUT</w:t>
      </w:r>
    </w:p>
    <w:p w14:paraId="588FBA86" w14:textId="77777777" w:rsidR="00921E38" w:rsidRPr="00921E38" w:rsidRDefault="00921E38" w:rsidP="00921E38">
      <w:pPr>
        <w:ind w:firstLine="720"/>
      </w:pPr>
      <w:r>
        <w:rPr>
          <w:b/>
          <w:bCs/>
        </w:rPr>
        <w:t>1.</w:t>
      </w:r>
      <w:r>
        <w:rPr>
          <w:b/>
          <w:bCs/>
        </w:rPr>
        <w:tab/>
      </w:r>
      <w:r w:rsidR="002361CD" w:rsidRPr="00921E38">
        <w:t>There are other tools in our toolbox that we don’t use often</w:t>
      </w:r>
      <w:r w:rsidR="00A231B2" w:rsidRPr="00921E38">
        <w:t>.  What are we giving up by staying in rut of just issuing pattern and non-pattern written discovery?</w:t>
      </w:r>
    </w:p>
    <w:p w14:paraId="40A53716" w14:textId="77777777" w:rsidR="00921E38" w:rsidRPr="00921E38" w:rsidRDefault="00921E38" w:rsidP="00921E38">
      <w:pPr>
        <w:ind w:left="720" w:firstLine="720"/>
        <w:rPr>
          <w:b/>
          <w:bCs/>
        </w:rPr>
      </w:pPr>
      <w:r w:rsidRPr="00921E38">
        <w:rPr>
          <w:b/>
          <w:bCs/>
        </w:rPr>
        <w:t>A.</w:t>
      </w:r>
      <w:r w:rsidRPr="00921E38">
        <w:rPr>
          <w:b/>
          <w:bCs/>
        </w:rPr>
        <w:tab/>
      </w:r>
      <w:r w:rsidR="002361CD" w:rsidRPr="00921E38">
        <w:rPr>
          <w:b/>
          <w:bCs/>
        </w:rPr>
        <w:t xml:space="preserve">Special Masters </w:t>
      </w:r>
    </w:p>
    <w:p w14:paraId="64CBAC73" w14:textId="77777777" w:rsidR="00921E38" w:rsidRPr="00921E38" w:rsidRDefault="00921E38" w:rsidP="00921E38">
      <w:pPr>
        <w:ind w:left="1440" w:firstLine="720"/>
      </w:pPr>
      <w:proofErr w:type="spellStart"/>
      <w:r w:rsidRPr="00921E38">
        <w:t>i</w:t>
      </w:r>
      <w:proofErr w:type="spellEnd"/>
      <w:r w:rsidRPr="00921E38">
        <w:t>.</w:t>
      </w:r>
      <w:r w:rsidRPr="00921E38">
        <w:tab/>
      </w:r>
      <w:r w:rsidR="002361CD" w:rsidRPr="00921E38">
        <w:t>Creature of C.R.C.P. 53</w:t>
      </w:r>
    </w:p>
    <w:p w14:paraId="2ECF6B39" w14:textId="73EBFD3B" w:rsidR="002361CD" w:rsidRPr="00921E38" w:rsidRDefault="00921E38" w:rsidP="00921E38">
      <w:pPr>
        <w:ind w:left="1440" w:firstLine="720"/>
      </w:pPr>
      <w:r w:rsidRPr="00921E38">
        <w:t>ii.</w:t>
      </w:r>
      <w:r w:rsidRPr="00921E38">
        <w:tab/>
      </w:r>
      <w:r w:rsidR="002361CD" w:rsidRPr="00921E38">
        <w:t>Expansive powers</w:t>
      </w:r>
    </w:p>
    <w:p w14:paraId="726F1052" w14:textId="77777777" w:rsidR="00921E38" w:rsidRPr="00921E38" w:rsidRDefault="00921E38" w:rsidP="00921E38"/>
    <w:p w14:paraId="3AABF3F7" w14:textId="1624B118" w:rsidR="00921E38" w:rsidRPr="00921E38" w:rsidRDefault="00921E38" w:rsidP="00921E38">
      <w:pPr>
        <w:ind w:left="720" w:firstLine="720"/>
      </w:pPr>
      <w:r w:rsidRPr="00921E38">
        <w:t>B.</w:t>
      </w:r>
      <w:r w:rsidRPr="00921E38">
        <w:tab/>
      </w:r>
      <w:r w:rsidR="002361CD" w:rsidRPr="00921E38">
        <w:rPr>
          <w:b/>
          <w:bCs/>
        </w:rPr>
        <w:t>Depositions</w:t>
      </w:r>
      <w:r w:rsidR="002361CD" w:rsidRPr="00921E38">
        <w:t xml:space="preserve"> </w:t>
      </w:r>
    </w:p>
    <w:p w14:paraId="18AAAF14" w14:textId="77777777" w:rsidR="00921E38" w:rsidRPr="00921E38" w:rsidRDefault="00921E38" w:rsidP="00921E38">
      <w:pPr>
        <w:ind w:left="720" w:firstLine="720"/>
      </w:pPr>
    </w:p>
    <w:p w14:paraId="57D5D0B4" w14:textId="6695A696" w:rsidR="00921E38" w:rsidRPr="00921E38" w:rsidRDefault="00921E38" w:rsidP="00921E38">
      <w:pPr>
        <w:ind w:left="720" w:firstLine="720"/>
        <w:rPr>
          <w:b/>
          <w:bCs/>
        </w:rPr>
      </w:pPr>
      <w:r w:rsidRPr="00921E38">
        <w:rPr>
          <w:b/>
          <w:bCs/>
        </w:rPr>
        <w:t>C.</w:t>
      </w:r>
      <w:r w:rsidRPr="00921E38">
        <w:rPr>
          <w:b/>
          <w:bCs/>
        </w:rPr>
        <w:tab/>
        <w:t xml:space="preserve">Shadow Experts </w:t>
      </w:r>
    </w:p>
    <w:p w14:paraId="79E318BD" w14:textId="57FDC7E7" w:rsidR="00A231B2" w:rsidRDefault="00A231B2" w:rsidP="00D60E1F">
      <w:pPr>
        <w:rPr>
          <w:b/>
          <w:bCs/>
        </w:rPr>
      </w:pPr>
    </w:p>
    <w:p w14:paraId="6D735152" w14:textId="3AE6F452" w:rsidR="00EE2C10" w:rsidRDefault="00A231B2" w:rsidP="00EE2C10">
      <w:pPr>
        <w:rPr>
          <w:b/>
          <w:bCs/>
        </w:rPr>
      </w:pPr>
      <w:r>
        <w:rPr>
          <w:b/>
          <w:bCs/>
        </w:rPr>
        <w:t>LAND MINES AND PITFALLS</w:t>
      </w:r>
    </w:p>
    <w:p w14:paraId="5AAB1BDE" w14:textId="03227385" w:rsidR="00A231B2" w:rsidRPr="00921E38" w:rsidRDefault="00EE2C10" w:rsidP="00EE2C10">
      <w:pPr>
        <w:pStyle w:val="ListParagraph"/>
        <w:numPr>
          <w:ilvl w:val="6"/>
          <w:numId w:val="4"/>
        </w:numPr>
        <w:ind w:left="1080"/>
      </w:pPr>
      <w:r w:rsidRPr="00921E38">
        <w:t xml:space="preserve">Duty to Supplement.  </w:t>
      </w:r>
      <w:r w:rsidR="00A231B2" w:rsidRPr="00921E38">
        <w:t>C.R.C.P. 16.2(e)(4)’s referral to 26(e)</w:t>
      </w:r>
    </w:p>
    <w:p w14:paraId="16A80FB9" w14:textId="77777777" w:rsidR="00EE2C10" w:rsidRPr="00921E38" w:rsidRDefault="00A231B2" w:rsidP="00D60E1F">
      <w:r w:rsidRPr="00921E38">
        <w:tab/>
      </w:r>
      <w:r w:rsidR="00EE2C10" w:rsidRPr="00921E38">
        <w:t xml:space="preserve">“A party is under a duty to supplement its disclosures under section (a) of this Ruler when the party learns that the information disclosed is incomplete or incorrect in some material respect and if the additional or corrective information has not otherwise been made known to the other parties during the disclosure or discovery process, including information relating to anticipated rebuttal but not including information to be used solely for impeachment of a witness.”  </w:t>
      </w:r>
    </w:p>
    <w:p w14:paraId="597C1475" w14:textId="5BE33B74" w:rsidR="00D60E1F" w:rsidRPr="00921E38" w:rsidRDefault="00EE2C10" w:rsidP="00EE2C10">
      <w:pPr>
        <w:ind w:firstLine="720"/>
      </w:pPr>
      <w:r w:rsidRPr="00921E38">
        <w:t xml:space="preserve">2.  </w:t>
      </w:r>
      <w:r w:rsidR="00D60E1F" w:rsidRPr="00921E38">
        <w:t>Privilege</w:t>
      </w:r>
    </w:p>
    <w:p w14:paraId="05F0B81D" w14:textId="137B1DA6" w:rsidR="00D2026B" w:rsidRPr="00921E38" w:rsidRDefault="00D60E1F" w:rsidP="00D60E1F">
      <w:r w:rsidRPr="00921E38">
        <w:tab/>
      </w:r>
      <w:r w:rsidR="00EE2C10" w:rsidRPr="00921E38">
        <w:tab/>
      </w:r>
      <w:r w:rsidR="00D2026B" w:rsidRPr="00921E38">
        <w:t>-</w:t>
      </w:r>
      <w:r w:rsidR="00EE2C10" w:rsidRPr="00921E38">
        <w:t xml:space="preserve">Fox v. </w:t>
      </w:r>
      <w:proofErr w:type="spellStart"/>
      <w:r w:rsidR="00EE2C10" w:rsidRPr="00921E38">
        <w:t>Alfani</w:t>
      </w:r>
      <w:proofErr w:type="spellEnd"/>
      <w:r w:rsidR="00D2026B" w:rsidRPr="00921E38">
        <w:t>, third parties in consultations</w:t>
      </w:r>
    </w:p>
    <w:p w14:paraId="6C900ED1" w14:textId="752D2864" w:rsidR="00EE2C10" w:rsidRPr="00921E38" w:rsidRDefault="00D2026B" w:rsidP="00EE2C10">
      <w:r w:rsidRPr="00921E38">
        <w:tab/>
      </w:r>
      <w:r w:rsidR="00EE2C10" w:rsidRPr="00921E38">
        <w:tab/>
        <w:t>-</w:t>
      </w:r>
      <w:r w:rsidRPr="00921E38">
        <w:t>assert immediately, in discovery and depositions</w:t>
      </w:r>
    </w:p>
    <w:p w14:paraId="175E3099" w14:textId="77777777" w:rsidR="00EE2C10" w:rsidRPr="00921E38" w:rsidRDefault="00EE2C10" w:rsidP="00EE2C10"/>
    <w:p w14:paraId="6AE9B4EF" w14:textId="1CB5266E" w:rsidR="00EE2C10" w:rsidRPr="00921E38" w:rsidRDefault="00EE2C10" w:rsidP="00EE2C10">
      <w:pPr>
        <w:ind w:firstLine="720"/>
      </w:pPr>
      <w:r w:rsidRPr="00921E38">
        <w:t xml:space="preserve">3.  </w:t>
      </w:r>
      <w:r w:rsidRPr="00921E38">
        <w:t>Insulating oneself from a C.R.C.P. 16.2(e)(10) claim</w:t>
      </w:r>
    </w:p>
    <w:p w14:paraId="69102C60" w14:textId="2FA095AE" w:rsidR="00CD63D5" w:rsidRDefault="00CD63D5" w:rsidP="00EE2C10">
      <w:pPr>
        <w:rPr>
          <w:b/>
          <w:bCs/>
        </w:rPr>
      </w:pPr>
    </w:p>
    <w:p w14:paraId="08CEF149" w14:textId="77777777" w:rsidR="00921E38" w:rsidRDefault="00921E38" w:rsidP="00921E38">
      <w:pPr>
        <w:rPr>
          <w:b/>
          <w:bCs/>
        </w:rPr>
      </w:pPr>
      <w:r>
        <w:rPr>
          <w:b/>
          <w:bCs/>
        </w:rPr>
        <w:t xml:space="preserve">ALWAYS MAKING A RECORD </w:t>
      </w:r>
    </w:p>
    <w:p w14:paraId="171E0598" w14:textId="77777777" w:rsidR="00921E38" w:rsidRPr="00921E38" w:rsidRDefault="00921E38" w:rsidP="00921E38">
      <w:pPr>
        <w:ind w:firstLine="720"/>
      </w:pPr>
      <w:r w:rsidRPr="00921E38">
        <w:rPr>
          <w:b/>
          <w:bCs/>
        </w:rPr>
        <w:t>1.</w:t>
      </w:r>
      <w:r>
        <w:rPr>
          <w:b/>
          <w:bCs/>
        </w:rPr>
        <w:tab/>
      </w:r>
      <w:r w:rsidR="00D114EF" w:rsidRPr="00921E38">
        <w:t xml:space="preserve">Objections Must be Specific </w:t>
      </w:r>
    </w:p>
    <w:p w14:paraId="56842FEC" w14:textId="77777777" w:rsidR="00921E38" w:rsidRPr="00921E38" w:rsidRDefault="00921E38" w:rsidP="00921E38">
      <w:pPr>
        <w:ind w:firstLine="720"/>
      </w:pPr>
      <w:r w:rsidRPr="00921E38">
        <w:t>2.</w:t>
      </w:r>
      <w:r w:rsidRPr="00921E38">
        <w:tab/>
      </w:r>
      <w:r w:rsidR="00D114EF" w:rsidRPr="00921E38">
        <w:t>Making a record from the start of the case</w:t>
      </w:r>
    </w:p>
    <w:p w14:paraId="01681E61" w14:textId="029A283D" w:rsidR="00D60E1F" w:rsidRPr="00921E38" w:rsidRDefault="00921E38" w:rsidP="00921E38">
      <w:pPr>
        <w:ind w:firstLine="720"/>
      </w:pPr>
      <w:r w:rsidRPr="00921E38">
        <w:t>3.</w:t>
      </w:r>
      <w:r w:rsidRPr="00921E38">
        <w:tab/>
      </w:r>
      <w:r w:rsidR="00D114EF" w:rsidRPr="00921E38">
        <w:t>Applies to compelling compliance with discovery and disclosure requirements and to objecting discover</w:t>
      </w:r>
    </w:p>
    <w:p w14:paraId="34594AC8" w14:textId="6096BA7D" w:rsidR="00E92695" w:rsidRDefault="00E92695" w:rsidP="00C45712"/>
    <w:p w14:paraId="102D151A" w14:textId="77777777" w:rsidR="008A63D5" w:rsidRPr="008A63D5" w:rsidRDefault="008A63D5" w:rsidP="00C45712"/>
    <w:p w14:paraId="58A88136" w14:textId="77777777" w:rsidR="001B5112" w:rsidRPr="008A63D5" w:rsidRDefault="001B5112" w:rsidP="00C45712"/>
    <w:p w14:paraId="511E23C2" w14:textId="77777777" w:rsidR="001B5112" w:rsidRPr="008A63D5" w:rsidRDefault="001B5112" w:rsidP="00C45712"/>
    <w:p w14:paraId="27789145" w14:textId="5B988777" w:rsidR="00C45712" w:rsidRPr="00921E38" w:rsidRDefault="00921E38" w:rsidP="00C45712">
      <w:pPr>
        <w:rPr>
          <w:b/>
          <w:bCs/>
        </w:rPr>
      </w:pPr>
      <w:r w:rsidRPr="00921E38">
        <w:rPr>
          <w:b/>
          <w:bCs/>
        </w:rPr>
        <w:t xml:space="preserve">DISCOVERY RULES TO BE ADDRESSED </w:t>
      </w:r>
    </w:p>
    <w:p w14:paraId="7E6CE9DA" w14:textId="14DA2A82" w:rsidR="00C45712" w:rsidRDefault="00C45712" w:rsidP="00C45712">
      <w:pPr>
        <w:pStyle w:val="ListParagraph"/>
        <w:numPr>
          <w:ilvl w:val="0"/>
          <w:numId w:val="1"/>
        </w:numPr>
      </w:pPr>
      <w:r>
        <w:t>C.R.C.P. 16.2(e):  Mandatory disclosures</w:t>
      </w:r>
    </w:p>
    <w:p w14:paraId="109D7F2B" w14:textId="03F6D028" w:rsidR="00C45712" w:rsidRDefault="00C45712" w:rsidP="00C45712">
      <w:pPr>
        <w:pStyle w:val="ListParagraph"/>
        <w:numPr>
          <w:ilvl w:val="0"/>
          <w:numId w:val="1"/>
        </w:numPr>
      </w:pPr>
      <w:r>
        <w:t>C.R.C.P. 16.2(f):  Permissible discovery</w:t>
      </w:r>
    </w:p>
    <w:p w14:paraId="2E9C4CF3" w14:textId="16057A1D" w:rsidR="00C45712" w:rsidRDefault="00C45712" w:rsidP="00C45712">
      <w:pPr>
        <w:pStyle w:val="ListParagraph"/>
        <w:numPr>
          <w:ilvl w:val="1"/>
          <w:numId w:val="1"/>
        </w:numPr>
      </w:pPr>
      <w:r>
        <w:t xml:space="preserve">Limitations on types, number, procedure for expanding </w:t>
      </w:r>
    </w:p>
    <w:p w14:paraId="6B2A6C9F" w14:textId="4E1F11D2" w:rsidR="00C45712" w:rsidRDefault="00C45712" w:rsidP="00C45712">
      <w:pPr>
        <w:pStyle w:val="ListParagraph"/>
        <w:numPr>
          <w:ilvl w:val="1"/>
          <w:numId w:val="1"/>
        </w:numPr>
      </w:pPr>
      <w:r>
        <w:t>Duty to supplement prior discovery (and disclosure) responses [C.R.C.P. 16.2(e)(4), 26(e)]</w:t>
      </w:r>
    </w:p>
    <w:p w14:paraId="18FB923D" w14:textId="28AADD04" w:rsidR="00C45712" w:rsidRDefault="00C45712" w:rsidP="00C45712">
      <w:pPr>
        <w:pStyle w:val="ListParagraph"/>
        <w:numPr>
          <w:ilvl w:val="1"/>
          <w:numId w:val="1"/>
        </w:numPr>
      </w:pPr>
      <w:r>
        <w:t>Timing for completion of all discovery [C.R.C.P. 16.2(f)(5)]</w:t>
      </w:r>
    </w:p>
    <w:p w14:paraId="3DEDB699" w14:textId="23EE5643" w:rsidR="00C45712" w:rsidRDefault="00C45712" w:rsidP="00C45712">
      <w:pPr>
        <w:pStyle w:val="ListParagraph"/>
        <w:numPr>
          <w:ilvl w:val="0"/>
          <w:numId w:val="1"/>
        </w:numPr>
      </w:pPr>
      <w:r>
        <w:t xml:space="preserve">C.R.C.P. 16.2(g):  Use of experts (joint or </w:t>
      </w:r>
      <w:proofErr w:type="gramStart"/>
      <w:r>
        <w:t>specially-retained</w:t>
      </w:r>
      <w:proofErr w:type="gramEnd"/>
      <w:r>
        <w:t>) to conduct discovery [C.R.C.P. 16.2(g)(4)]</w:t>
      </w:r>
    </w:p>
    <w:p w14:paraId="09700D81" w14:textId="66C27AEF" w:rsidR="00C45712" w:rsidRDefault="00C45712" w:rsidP="00C45712">
      <w:pPr>
        <w:pStyle w:val="ListParagraph"/>
        <w:numPr>
          <w:ilvl w:val="0"/>
          <w:numId w:val="1"/>
        </w:numPr>
      </w:pPr>
      <w:r>
        <w:t>C.R.C.P. 26(a):  Required disclosures</w:t>
      </w:r>
      <w:r w:rsidR="00C8363C">
        <w:t xml:space="preserve"> for parties and experts (joint/retained/not retained or specially employed/rebuttal)</w:t>
      </w:r>
    </w:p>
    <w:p w14:paraId="4DF300B6" w14:textId="0DAD06A4" w:rsidR="00C8363C" w:rsidRDefault="00C8363C" w:rsidP="00C45712">
      <w:pPr>
        <w:pStyle w:val="ListParagraph"/>
        <w:numPr>
          <w:ilvl w:val="0"/>
          <w:numId w:val="1"/>
        </w:numPr>
      </w:pPr>
      <w:r>
        <w:t>C.R.C.P. 26(b):  Scope and Limits of Discovery</w:t>
      </w:r>
    </w:p>
    <w:p w14:paraId="41E46B50" w14:textId="6CB0FD4B" w:rsidR="00C8363C" w:rsidRDefault="00C8363C" w:rsidP="00C8363C">
      <w:pPr>
        <w:pStyle w:val="ListParagraph"/>
        <w:numPr>
          <w:ilvl w:val="1"/>
          <w:numId w:val="1"/>
        </w:numPr>
      </w:pPr>
      <w:r>
        <w:t>C.R.C.P. 26(b)(1):  Discovery applies to “parties”</w:t>
      </w:r>
    </w:p>
    <w:p w14:paraId="5CF22852" w14:textId="00239B97" w:rsidR="00C8363C" w:rsidRDefault="00C8363C" w:rsidP="00C8363C">
      <w:pPr>
        <w:pStyle w:val="ListParagraph"/>
        <w:numPr>
          <w:ilvl w:val="1"/>
          <w:numId w:val="1"/>
        </w:numPr>
      </w:pPr>
      <w:r>
        <w:t>Same:  Discovery permitted for “any matter, not privileged, that is relevant to the claim or defense of any party and proportional to the needs of the case”</w:t>
      </w:r>
    </w:p>
    <w:p w14:paraId="71149385" w14:textId="5DE97489" w:rsidR="00C8363C" w:rsidRDefault="00C8363C" w:rsidP="00C8363C">
      <w:pPr>
        <w:pStyle w:val="ListParagraph"/>
        <w:numPr>
          <w:ilvl w:val="1"/>
          <w:numId w:val="1"/>
        </w:numPr>
      </w:pPr>
      <w:r>
        <w:t>C.R.C.P. 26(b)(1):  Proportionality factors</w:t>
      </w:r>
    </w:p>
    <w:p w14:paraId="60289B30" w14:textId="5C35622B" w:rsidR="00C8363C" w:rsidRDefault="00C8363C" w:rsidP="00C8363C">
      <w:pPr>
        <w:pStyle w:val="ListParagraph"/>
        <w:numPr>
          <w:ilvl w:val="2"/>
          <w:numId w:val="1"/>
        </w:numPr>
      </w:pPr>
      <w:r>
        <w:t>Importance of the issues at stake in the action</w:t>
      </w:r>
    </w:p>
    <w:p w14:paraId="0703F499" w14:textId="0745E958" w:rsidR="00C8363C" w:rsidRDefault="00C8363C" w:rsidP="00C8363C">
      <w:pPr>
        <w:pStyle w:val="ListParagraph"/>
        <w:numPr>
          <w:ilvl w:val="2"/>
          <w:numId w:val="1"/>
        </w:numPr>
      </w:pPr>
      <w:r>
        <w:t>Amount in controversy</w:t>
      </w:r>
    </w:p>
    <w:p w14:paraId="20157E55" w14:textId="763E82FB" w:rsidR="00C8363C" w:rsidRDefault="00C8363C" w:rsidP="00C8363C">
      <w:pPr>
        <w:pStyle w:val="ListParagraph"/>
        <w:numPr>
          <w:ilvl w:val="2"/>
          <w:numId w:val="1"/>
        </w:numPr>
      </w:pPr>
      <w:r>
        <w:t>Parties’ relative access to relevant information</w:t>
      </w:r>
    </w:p>
    <w:p w14:paraId="5733D8F5" w14:textId="643747E0" w:rsidR="00C8363C" w:rsidRDefault="00C8363C" w:rsidP="00C8363C">
      <w:pPr>
        <w:pStyle w:val="ListParagraph"/>
        <w:numPr>
          <w:ilvl w:val="2"/>
          <w:numId w:val="1"/>
        </w:numPr>
      </w:pPr>
      <w:r>
        <w:t>Parties’ resources</w:t>
      </w:r>
    </w:p>
    <w:p w14:paraId="37CD5097" w14:textId="20E15B78" w:rsidR="00C8363C" w:rsidRDefault="00C8363C" w:rsidP="00C8363C">
      <w:pPr>
        <w:pStyle w:val="ListParagraph"/>
        <w:numPr>
          <w:ilvl w:val="2"/>
          <w:numId w:val="1"/>
        </w:numPr>
      </w:pPr>
      <w:r>
        <w:t>Importance of the discovery in resolving issues</w:t>
      </w:r>
    </w:p>
    <w:p w14:paraId="22BD6839" w14:textId="77777777" w:rsidR="00C8363C" w:rsidRDefault="00C8363C" w:rsidP="00C8363C">
      <w:pPr>
        <w:pStyle w:val="ListParagraph"/>
        <w:numPr>
          <w:ilvl w:val="2"/>
          <w:numId w:val="1"/>
        </w:numPr>
      </w:pPr>
      <w:r>
        <w:t>Whether the burden or expense of the proposed discovery outweighs its likely benefit</w:t>
      </w:r>
    </w:p>
    <w:p w14:paraId="1B9A37B1" w14:textId="3CECE46F" w:rsidR="00C8363C" w:rsidRDefault="00C8363C" w:rsidP="00C8363C">
      <w:pPr>
        <w:pStyle w:val="ListParagraph"/>
        <w:numPr>
          <w:ilvl w:val="2"/>
          <w:numId w:val="1"/>
        </w:numPr>
      </w:pPr>
      <w:r>
        <w:t>“Information within the scope of discovery need not be admissible in evidence to be discoverable”</w:t>
      </w:r>
    </w:p>
    <w:p w14:paraId="67045C73" w14:textId="43FDCF0E" w:rsidR="00C8363C" w:rsidRDefault="00C8363C" w:rsidP="00C8363C">
      <w:pPr>
        <w:pStyle w:val="ListParagraph"/>
        <w:numPr>
          <w:ilvl w:val="2"/>
          <w:numId w:val="1"/>
        </w:numPr>
      </w:pPr>
      <w:r>
        <w:t>C.R.C.P. 16.2 overlay on general discovery rules in C.R.C.P. 26-37</w:t>
      </w:r>
    </w:p>
    <w:p w14:paraId="7AFD294B" w14:textId="769292D9" w:rsidR="00C8363C" w:rsidRDefault="00C8363C" w:rsidP="00C8363C">
      <w:pPr>
        <w:pStyle w:val="ListParagraph"/>
        <w:numPr>
          <w:ilvl w:val="0"/>
          <w:numId w:val="2"/>
        </w:numPr>
      </w:pPr>
      <w:r>
        <w:t>Mandatory disclosures (Forms 35.1 and 35.2)</w:t>
      </w:r>
    </w:p>
    <w:p w14:paraId="70187841" w14:textId="619869D3" w:rsidR="00C55361" w:rsidRDefault="00C55361" w:rsidP="00C8363C">
      <w:pPr>
        <w:pStyle w:val="ListParagraph"/>
        <w:numPr>
          <w:ilvl w:val="0"/>
          <w:numId w:val="2"/>
        </w:numPr>
      </w:pPr>
      <w:r>
        <w:t>Mandatory supplementation (C.R.C.P. 16.2(e)(4))</w:t>
      </w:r>
    </w:p>
    <w:p w14:paraId="2F20ADC1" w14:textId="53D203DD" w:rsidR="00C55361" w:rsidRDefault="00C55361" w:rsidP="00C8363C">
      <w:pPr>
        <w:pStyle w:val="ListParagraph"/>
        <w:numPr>
          <w:ilvl w:val="0"/>
          <w:numId w:val="2"/>
        </w:numPr>
      </w:pPr>
      <w:r>
        <w:t>Motion for reallocation of misstated/omitted assets or debts (C.R.C.P. 16.2(e)(10))</w:t>
      </w:r>
    </w:p>
    <w:p w14:paraId="3AEB25D5" w14:textId="39898436" w:rsidR="00C55361" w:rsidRDefault="00C55361" w:rsidP="00C8363C">
      <w:pPr>
        <w:pStyle w:val="ListParagraph"/>
        <w:numPr>
          <w:ilvl w:val="0"/>
          <w:numId w:val="2"/>
        </w:numPr>
      </w:pPr>
      <w:r>
        <w:t>General disclosure and discovery obligations (C.R.C.P. 16.2(e)(1) and (2))</w:t>
      </w:r>
    </w:p>
    <w:p w14:paraId="6BA1D1F9" w14:textId="7B070E70" w:rsidR="00C55361" w:rsidRDefault="00C55361" w:rsidP="00C55361">
      <w:pPr>
        <w:pStyle w:val="ListParagraph"/>
        <w:numPr>
          <w:ilvl w:val="1"/>
          <w:numId w:val="2"/>
        </w:numPr>
      </w:pPr>
      <w:r>
        <w:t>“Full and honest disclosure of all facts that materially affect their rights and interests and those of the children involved in the case”</w:t>
      </w:r>
    </w:p>
    <w:p w14:paraId="58C1C663" w14:textId="56A7B4C3" w:rsidR="00C55361" w:rsidRDefault="00C55361" w:rsidP="00C55361">
      <w:pPr>
        <w:pStyle w:val="ListParagraph"/>
        <w:numPr>
          <w:ilvl w:val="1"/>
          <w:numId w:val="2"/>
        </w:numPr>
      </w:pPr>
      <w:r>
        <w:t>“A party must affirmatively disclose all information that is material to the resolution of the case without awaiting inquiry [i.e., discovery] from the other party”</w:t>
      </w:r>
    </w:p>
    <w:p w14:paraId="7ACE746E" w14:textId="3A3D3035" w:rsidR="00C55361" w:rsidRDefault="00C55361" w:rsidP="00C55361">
      <w:pPr>
        <w:pStyle w:val="ListParagraph"/>
        <w:numPr>
          <w:ilvl w:val="1"/>
          <w:numId w:val="2"/>
        </w:numPr>
      </w:pPr>
      <w:r>
        <w:t>“This disclosure shall be conducted in accord with the duty of candor owing among those whose domestic issues are to be resolved under this Rule 16.2”</w:t>
      </w:r>
    </w:p>
    <w:p w14:paraId="586F24D7" w14:textId="5BE42EC7" w:rsidR="00C55361" w:rsidRDefault="00C55361" w:rsidP="00C55361">
      <w:pPr>
        <w:pStyle w:val="ListParagraph"/>
        <w:numPr>
          <w:ilvl w:val="1"/>
          <w:numId w:val="2"/>
        </w:numPr>
      </w:pPr>
      <w:r>
        <w:lastRenderedPageBreak/>
        <w:t xml:space="preserve">Consistent with the general principles of C.R.C.P. 16:  robust mandatory disclosure coupled with duty to supplement, limited and </w:t>
      </w:r>
      <w:proofErr w:type="gramStart"/>
      <w:r>
        <w:t>narrowly-defined</w:t>
      </w:r>
      <w:proofErr w:type="gramEnd"/>
      <w:r>
        <w:t xml:space="preserve"> discovery subject to proportionality factor analysis and burden on “parties” to seek permission to conduct additional discovery</w:t>
      </w:r>
    </w:p>
    <w:p w14:paraId="5BC498CE" w14:textId="39225F44" w:rsidR="00234045" w:rsidRDefault="00C55361" w:rsidP="00234045">
      <w:pPr>
        <w:pStyle w:val="ListParagraph"/>
        <w:numPr>
          <w:ilvl w:val="1"/>
          <w:numId w:val="2"/>
        </w:numPr>
      </w:pPr>
      <w:r>
        <w:t>Parties and counsel can take the initiative through a stipulated case management plan under C.R.C.P. 16.2(c)(1)(C) to control and define the scope for expanded discovery in a domestic relations case</w:t>
      </w:r>
    </w:p>
    <w:p w14:paraId="76AD849F" w14:textId="335C402C" w:rsidR="00234045" w:rsidRDefault="00234045" w:rsidP="00234045">
      <w:pPr>
        <w:pStyle w:val="ListParagraph"/>
        <w:numPr>
          <w:ilvl w:val="0"/>
          <w:numId w:val="3"/>
        </w:numPr>
      </w:pPr>
      <w:r>
        <w:t>C.R.C.P. 30-32:  Depositions</w:t>
      </w:r>
    </w:p>
    <w:p w14:paraId="7516A11D" w14:textId="5F11E59B" w:rsidR="00234045" w:rsidRDefault="00234045" w:rsidP="00234045">
      <w:pPr>
        <w:pStyle w:val="ListParagraph"/>
        <w:numPr>
          <w:ilvl w:val="0"/>
          <w:numId w:val="3"/>
        </w:numPr>
      </w:pPr>
      <w:r>
        <w:t>C.R.C.P. Formal written discovery</w:t>
      </w:r>
    </w:p>
    <w:p w14:paraId="4CA25422" w14:textId="7830FC64" w:rsidR="00234045" w:rsidRDefault="00234045" w:rsidP="00234045">
      <w:pPr>
        <w:pStyle w:val="ListParagraph"/>
        <w:numPr>
          <w:ilvl w:val="1"/>
          <w:numId w:val="3"/>
        </w:numPr>
      </w:pPr>
      <w:r>
        <w:t>Interrogatories (C.R.C.P. 33 and Form 35.4)</w:t>
      </w:r>
    </w:p>
    <w:p w14:paraId="0A4F79B3" w14:textId="36859545" w:rsidR="00234045" w:rsidRDefault="00234045" w:rsidP="00234045">
      <w:pPr>
        <w:pStyle w:val="ListParagraph"/>
        <w:numPr>
          <w:ilvl w:val="1"/>
          <w:numId w:val="3"/>
        </w:numPr>
      </w:pPr>
      <w:r>
        <w:t>Requests for Production of Documents and Things (C.R.C.P. 34 and Form 35.5)</w:t>
      </w:r>
    </w:p>
    <w:p w14:paraId="3DBC4B9D" w14:textId="32B7B929" w:rsidR="00234045" w:rsidRDefault="00567B0B" w:rsidP="00234045">
      <w:pPr>
        <w:pStyle w:val="ListParagraph"/>
        <w:numPr>
          <w:ilvl w:val="1"/>
          <w:numId w:val="3"/>
        </w:numPr>
      </w:pPr>
      <w:r>
        <w:t>Requests for Admission (C.R.C.P. 36)</w:t>
      </w:r>
    </w:p>
    <w:p w14:paraId="4D472293" w14:textId="299429E1" w:rsidR="00567B0B" w:rsidRDefault="00567B0B" w:rsidP="00567B0B">
      <w:pPr>
        <w:pStyle w:val="ListParagraph"/>
        <w:numPr>
          <w:ilvl w:val="2"/>
          <w:numId w:val="3"/>
        </w:numPr>
      </w:pPr>
      <w:r>
        <w:t>If needed, must be requested (via motion) or included in a stipulated case management plan adopted by the court [C.R.C.P. 16.2(f)(4)]</w:t>
      </w:r>
    </w:p>
    <w:p w14:paraId="341766C5" w14:textId="5C9CAE40" w:rsidR="00567B0B" w:rsidRDefault="00567B0B" w:rsidP="00567B0B">
      <w:pPr>
        <w:pStyle w:val="ListParagraph"/>
        <w:numPr>
          <w:ilvl w:val="2"/>
          <w:numId w:val="3"/>
        </w:numPr>
      </w:pPr>
      <w:proofErr w:type="gramStart"/>
      <w:r>
        <w:t>Generally</w:t>
      </w:r>
      <w:proofErr w:type="gramEnd"/>
      <w:r>
        <w:t xml:space="preserve"> not useful in domestic relations case except to establish authenticity and genuineness of documentary exhibits for </w:t>
      </w:r>
      <w:r w:rsidR="007F5725">
        <w:t>admissibility</w:t>
      </w:r>
      <w:r w:rsidR="007F5725">
        <w:tab/>
      </w:r>
    </w:p>
    <w:p w14:paraId="5842C58F" w14:textId="03ABA900" w:rsidR="00C55361" w:rsidRDefault="007F5725" w:rsidP="007F5725">
      <w:pPr>
        <w:pStyle w:val="ListParagraph"/>
        <w:numPr>
          <w:ilvl w:val="0"/>
          <w:numId w:val="3"/>
        </w:numPr>
      </w:pPr>
      <w:r>
        <w:t>C.R.C.P. 37:  Sanctions for Failure to Make Disclosures or to Cooperate in Discovery</w:t>
      </w:r>
    </w:p>
    <w:p w14:paraId="6B7F079D" w14:textId="01447D6B" w:rsidR="007F5725" w:rsidRDefault="007F5725" w:rsidP="007F5725">
      <w:pPr>
        <w:pStyle w:val="ListParagraph"/>
        <w:numPr>
          <w:ilvl w:val="0"/>
          <w:numId w:val="3"/>
        </w:numPr>
      </w:pPr>
      <w:r>
        <w:t>C.R.C.P. 45:  Discovery of Nonparties by Subpoena</w:t>
      </w:r>
    </w:p>
    <w:p w14:paraId="3B8C26B2" w14:textId="2B7F375F" w:rsidR="007F5725" w:rsidRDefault="007F5725" w:rsidP="007F5725">
      <w:pPr>
        <w:pStyle w:val="ListParagraph"/>
        <w:numPr>
          <w:ilvl w:val="0"/>
          <w:numId w:val="3"/>
        </w:numPr>
      </w:pPr>
      <w:r>
        <w:t>Specific Discovery Topics and Rules</w:t>
      </w:r>
    </w:p>
    <w:p w14:paraId="4A7BFF4B" w14:textId="59C73242" w:rsidR="007F5725" w:rsidRDefault="007F5725" w:rsidP="007F5725">
      <w:pPr>
        <w:pStyle w:val="ListParagraph"/>
        <w:numPr>
          <w:ilvl w:val="1"/>
          <w:numId w:val="3"/>
        </w:numPr>
      </w:pPr>
      <w:r>
        <w:t>Protections against discovery abuse</w:t>
      </w:r>
    </w:p>
    <w:p w14:paraId="7408EA95" w14:textId="545E6FF4" w:rsidR="007F5725" w:rsidRDefault="007F5725" w:rsidP="007F5725">
      <w:pPr>
        <w:pStyle w:val="ListParagraph"/>
        <w:numPr>
          <w:ilvl w:val="2"/>
          <w:numId w:val="3"/>
        </w:numPr>
      </w:pPr>
      <w:r>
        <w:t>C.R.C.P. 26(c):  Motions for protective orders</w:t>
      </w:r>
    </w:p>
    <w:p w14:paraId="45F9BB9B" w14:textId="322A1035" w:rsidR="007F5725" w:rsidRDefault="007F5725" w:rsidP="007F5725">
      <w:pPr>
        <w:pStyle w:val="ListParagraph"/>
        <w:numPr>
          <w:ilvl w:val="2"/>
          <w:numId w:val="3"/>
        </w:numPr>
      </w:pPr>
      <w:r>
        <w:t>C.R.C.P. 45(c):  Protections for subpoenaed non-parties</w:t>
      </w:r>
    </w:p>
    <w:p w14:paraId="12BC93C1" w14:textId="0ADA8D44" w:rsidR="007F5725" w:rsidRDefault="007F5725" w:rsidP="007F5725">
      <w:pPr>
        <w:pStyle w:val="ListParagraph"/>
        <w:numPr>
          <w:ilvl w:val="1"/>
          <w:numId w:val="3"/>
        </w:numPr>
      </w:pPr>
      <w:r>
        <w:t xml:space="preserve">Protections for experts </w:t>
      </w:r>
    </w:p>
    <w:p w14:paraId="7D6A1D2D" w14:textId="6CFF30D9" w:rsidR="007F5725" w:rsidRDefault="007F5725" w:rsidP="007F5725">
      <w:pPr>
        <w:pStyle w:val="ListParagraph"/>
        <w:numPr>
          <w:ilvl w:val="2"/>
          <w:numId w:val="3"/>
        </w:numPr>
      </w:pPr>
      <w:r>
        <w:t xml:space="preserve">C.R.C.P. 26(b)(4)(C):  </w:t>
      </w:r>
      <w:r w:rsidR="00DB4E0D">
        <w:t>Expert paid by party seeking discovery for “time spent in responding to discovery”</w:t>
      </w:r>
    </w:p>
    <w:p w14:paraId="1501F929" w14:textId="5AB36F88" w:rsidR="00DB4E0D" w:rsidRDefault="00DB4E0D" w:rsidP="007F5725">
      <w:pPr>
        <w:pStyle w:val="ListParagraph"/>
        <w:numPr>
          <w:ilvl w:val="2"/>
          <w:numId w:val="3"/>
        </w:numPr>
      </w:pPr>
      <w:r>
        <w:t>C.R.C.P. 26(b)(4)(D):  Experts not required to disclose or respond to discovery relating to draft reports, disclosures, or communications with retaining party’s attorney, except as listed</w:t>
      </w:r>
    </w:p>
    <w:p w14:paraId="30CAA699" w14:textId="52B53D32" w:rsidR="00DB4E0D" w:rsidRDefault="00DB4E0D" w:rsidP="00DB4E0D">
      <w:pPr>
        <w:pStyle w:val="ListParagraph"/>
        <w:numPr>
          <w:ilvl w:val="1"/>
          <w:numId w:val="3"/>
        </w:numPr>
      </w:pPr>
      <w:r>
        <w:t>Preserving privilege (C.R.C.P. 26(b)(5))</w:t>
      </w:r>
    </w:p>
    <w:p w14:paraId="0DF997C9" w14:textId="5DCDA33E" w:rsidR="00DB4E0D" w:rsidRDefault="00DB4E0D" w:rsidP="00DB4E0D">
      <w:pPr>
        <w:pStyle w:val="ListParagraph"/>
        <w:numPr>
          <w:ilvl w:val="2"/>
          <w:numId w:val="3"/>
        </w:numPr>
      </w:pPr>
      <w:r>
        <w:t>Duty of party claiming privilege to prepare and serve a privilege log</w:t>
      </w:r>
    </w:p>
    <w:p w14:paraId="34FC682D" w14:textId="4301EA8A" w:rsidR="00DB4E0D" w:rsidRDefault="00DB4E0D" w:rsidP="00DB4E0D">
      <w:pPr>
        <w:pStyle w:val="ListParagraph"/>
        <w:numPr>
          <w:ilvl w:val="2"/>
          <w:numId w:val="3"/>
        </w:numPr>
      </w:pPr>
      <w:r>
        <w:t xml:space="preserve">For attorney-client communications that are responsive to discovery requests or for attorney-expert communications </w:t>
      </w:r>
    </w:p>
    <w:p w14:paraId="3B8F7B70" w14:textId="4A662A53" w:rsidR="00DB4E0D" w:rsidRDefault="00DB4E0D" w:rsidP="00DB4E0D">
      <w:pPr>
        <w:pStyle w:val="ListParagraph"/>
        <w:numPr>
          <w:ilvl w:val="2"/>
          <w:numId w:val="3"/>
        </w:numPr>
      </w:pPr>
      <w:r>
        <w:t>For all attorney work product claims</w:t>
      </w:r>
    </w:p>
    <w:p w14:paraId="4C72889F" w14:textId="2B1D8871" w:rsidR="00DB4E0D" w:rsidRPr="00C45712" w:rsidRDefault="00DB4E0D" w:rsidP="00DB4E0D">
      <w:pPr>
        <w:pStyle w:val="ListParagraph"/>
        <w:numPr>
          <w:ilvl w:val="1"/>
          <w:numId w:val="3"/>
        </w:numPr>
      </w:pPr>
      <w:r>
        <w:t>Duty to supplement mandatory disclosures and discovery responses  (C.R.C.P. 26(e)and 16.2(e)(4))</w:t>
      </w:r>
    </w:p>
    <w:sectPr w:rsidR="00DB4E0D" w:rsidRPr="00C4571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3349D" w14:textId="77777777" w:rsidR="00065E24" w:rsidRDefault="00065E24" w:rsidP="00234045">
      <w:pPr>
        <w:spacing w:after="0" w:line="240" w:lineRule="auto"/>
      </w:pPr>
      <w:r>
        <w:separator/>
      </w:r>
    </w:p>
  </w:endnote>
  <w:endnote w:type="continuationSeparator" w:id="0">
    <w:p w14:paraId="7B9B14F9" w14:textId="77777777" w:rsidR="00065E24" w:rsidRDefault="00065E24" w:rsidP="00234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8283106"/>
      <w:docPartObj>
        <w:docPartGallery w:val="Page Numbers (Bottom of Page)"/>
        <w:docPartUnique/>
      </w:docPartObj>
    </w:sdtPr>
    <w:sdtEndPr/>
    <w:sdtContent>
      <w:sdt>
        <w:sdtPr>
          <w:id w:val="1728636285"/>
          <w:docPartObj>
            <w:docPartGallery w:val="Page Numbers (Top of Page)"/>
            <w:docPartUnique/>
          </w:docPartObj>
        </w:sdtPr>
        <w:sdtEndPr/>
        <w:sdtContent>
          <w:p w14:paraId="291FF83C" w14:textId="107C2C4D" w:rsidR="00234045" w:rsidRDefault="0023404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2BA9CAC" w14:textId="77777777" w:rsidR="00234045" w:rsidRDefault="00234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C5781" w14:textId="77777777" w:rsidR="00065E24" w:rsidRDefault="00065E24" w:rsidP="00234045">
      <w:pPr>
        <w:spacing w:after="0" w:line="240" w:lineRule="auto"/>
      </w:pPr>
      <w:r>
        <w:separator/>
      </w:r>
    </w:p>
  </w:footnote>
  <w:footnote w:type="continuationSeparator" w:id="0">
    <w:p w14:paraId="44DD74D9" w14:textId="77777777" w:rsidR="00065E24" w:rsidRDefault="00065E24" w:rsidP="002340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77AC7"/>
    <w:multiLevelType w:val="hybridMultilevel"/>
    <w:tmpl w:val="36A0213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3851BA"/>
    <w:multiLevelType w:val="hybridMultilevel"/>
    <w:tmpl w:val="EEDC19A0"/>
    <w:lvl w:ilvl="0" w:tplc="26E6C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8D5D4E"/>
    <w:multiLevelType w:val="hybridMultilevel"/>
    <w:tmpl w:val="F6B884B6"/>
    <w:lvl w:ilvl="0" w:tplc="4BE4FBB0">
      <w:start w:val="1"/>
      <w:numFmt w:val="decimal"/>
      <w:lvlText w:val="%1."/>
      <w:lvlJc w:val="left"/>
      <w:pPr>
        <w:ind w:left="1080" w:hanging="360"/>
      </w:pPr>
      <w:rPr>
        <w:rFonts w:hint="default"/>
      </w:rPr>
    </w:lvl>
    <w:lvl w:ilvl="1" w:tplc="D410E0D0">
      <w:start w:val="1"/>
      <w:numFmt w:val="decimal"/>
      <w:lvlText w:val="%2."/>
      <w:lvlJc w:val="left"/>
      <w:pPr>
        <w:ind w:left="1800" w:hanging="360"/>
      </w:pPr>
      <w:rPr>
        <w:rFonts w:asciiTheme="minorHAnsi" w:eastAsiaTheme="minorHAnsi" w:hAnsiTheme="minorHAnsi" w:cstheme="minorBidi"/>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4E1C0E6C">
      <w:start w:val="1"/>
      <w:numFmt w:val="decimal"/>
      <w:lvlText w:val="%5."/>
      <w:lvlJc w:val="left"/>
      <w:pPr>
        <w:ind w:left="3960" w:hanging="360"/>
      </w:pPr>
      <w:rPr>
        <w:rFonts w:asciiTheme="minorHAnsi" w:eastAsiaTheme="minorHAnsi" w:hAnsiTheme="minorHAnsi" w:cstheme="minorBidi"/>
      </w:r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6CF6E93"/>
    <w:multiLevelType w:val="hybridMultilevel"/>
    <w:tmpl w:val="E918040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2E1C5F"/>
    <w:multiLevelType w:val="hybridMultilevel"/>
    <w:tmpl w:val="45DEA308"/>
    <w:lvl w:ilvl="0" w:tplc="D410E0D0">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E6620B"/>
    <w:multiLevelType w:val="multilevel"/>
    <w:tmpl w:val="0C125C38"/>
    <w:styleLink w:val="CurrentList1"/>
    <w:lvl w:ilvl="0">
      <w:start w:val="1"/>
      <w:numFmt w:val="decimal"/>
      <w:lvlText w:val="%1."/>
      <w:lvlJc w:val="left"/>
      <w:pPr>
        <w:ind w:left="1080" w:hanging="360"/>
      </w:pPr>
      <w:rPr>
        <w:rFonts w:hint="default"/>
      </w:rPr>
    </w:lvl>
    <w:lvl w:ilvl="1">
      <w:start w:val="1"/>
      <w:numFmt w:val="decimal"/>
      <w:lvlText w:val="%2."/>
      <w:lvlJc w:val="left"/>
      <w:pPr>
        <w:ind w:left="1800" w:hanging="360"/>
      </w:pPr>
      <w:rPr>
        <w:rFonts w:asciiTheme="minorHAnsi" w:eastAsiaTheme="minorHAnsi" w:hAnsiTheme="minorHAnsi" w:cstheme="minorBidi"/>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decimal"/>
      <w:lvlText w:val="%5."/>
      <w:lvlJc w:val="left"/>
      <w:pPr>
        <w:ind w:left="3960" w:hanging="360"/>
      </w:pPr>
      <w:rPr>
        <w:rFonts w:asciiTheme="minorHAnsi" w:eastAsiaTheme="minorHAnsi" w:hAnsiTheme="minorHAnsi" w:cstheme="minorBidi"/>
      </w:r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71E000C8"/>
    <w:multiLevelType w:val="hybridMultilevel"/>
    <w:tmpl w:val="B9BAB170"/>
    <w:lvl w:ilvl="0" w:tplc="0409000B">
      <w:start w:val="1"/>
      <w:numFmt w:val="bullet"/>
      <w:lvlText w:val=""/>
      <w:lvlJc w:val="left"/>
      <w:pPr>
        <w:ind w:left="2880" w:hanging="360"/>
      </w:pPr>
      <w:rPr>
        <w:rFonts w:ascii="Wingdings" w:hAnsi="Wingdings" w:hint="default"/>
      </w:rPr>
    </w:lvl>
    <w:lvl w:ilvl="1" w:tplc="04090009">
      <w:start w:val="1"/>
      <w:numFmt w:val="bullet"/>
      <w:lvlText w:val=""/>
      <w:lvlJc w:val="left"/>
      <w:pPr>
        <w:ind w:left="3600" w:hanging="360"/>
      </w:pPr>
      <w:rPr>
        <w:rFonts w:ascii="Wingdings" w:hAnsi="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349113073">
    <w:abstractNumId w:val="0"/>
  </w:num>
  <w:num w:numId="2" w16cid:durableId="867257250">
    <w:abstractNumId w:val="6"/>
  </w:num>
  <w:num w:numId="3" w16cid:durableId="997269214">
    <w:abstractNumId w:val="3"/>
  </w:num>
  <w:num w:numId="4" w16cid:durableId="1983076827">
    <w:abstractNumId w:val="2"/>
  </w:num>
  <w:num w:numId="5" w16cid:durableId="63141736">
    <w:abstractNumId w:val="1"/>
  </w:num>
  <w:num w:numId="6" w16cid:durableId="275989300">
    <w:abstractNumId w:val="5"/>
  </w:num>
  <w:num w:numId="7" w16cid:durableId="15159229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712"/>
    <w:rsid w:val="00065E24"/>
    <w:rsid w:val="000950CC"/>
    <w:rsid w:val="001020FC"/>
    <w:rsid w:val="001B5112"/>
    <w:rsid w:val="002225C5"/>
    <w:rsid w:val="00234045"/>
    <w:rsid w:val="002361CD"/>
    <w:rsid w:val="00277DEC"/>
    <w:rsid w:val="00306254"/>
    <w:rsid w:val="00385439"/>
    <w:rsid w:val="00474FB5"/>
    <w:rsid w:val="00567B0B"/>
    <w:rsid w:val="005B3BEE"/>
    <w:rsid w:val="005B6569"/>
    <w:rsid w:val="007F5725"/>
    <w:rsid w:val="008A63D5"/>
    <w:rsid w:val="00921E38"/>
    <w:rsid w:val="00A231B2"/>
    <w:rsid w:val="00AA4AC3"/>
    <w:rsid w:val="00B81D00"/>
    <w:rsid w:val="00B97F95"/>
    <w:rsid w:val="00C24B09"/>
    <w:rsid w:val="00C42DE7"/>
    <w:rsid w:val="00C45712"/>
    <w:rsid w:val="00C55361"/>
    <w:rsid w:val="00C7232A"/>
    <w:rsid w:val="00C8363C"/>
    <w:rsid w:val="00CD63D5"/>
    <w:rsid w:val="00D00AD3"/>
    <w:rsid w:val="00D114EF"/>
    <w:rsid w:val="00D2026B"/>
    <w:rsid w:val="00D603FE"/>
    <w:rsid w:val="00D60E1F"/>
    <w:rsid w:val="00D62268"/>
    <w:rsid w:val="00DB4E0D"/>
    <w:rsid w:val="00DC6126"/>
    <w:rsid w:val="00E92695"/>
    <w:rsid w:val="00EE2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1E954"/>
  <w15:chartTrackingRefBased/>
  <w15:docId w15:val="{592EDC80-00D7-407E-AD53-182A9DB7A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712"/>
    <w:pPr>
      <w:ind w:left="720"/>
      <w:contextualSpacing/>
    </w:pPr>
  </w:style>
  <w:style w:type="paragraph" w:styleId="Header">
    <w:name w:val="header"/>
    <w:basedOn w:val="Normal"/>
    <w:link w:val="HeaderChar"/>
    <w:uiPriority w:val="99"/>
    <w:unhideWhenUsed/>
    <w:rsid w:val="00234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045"/>
  </w:style>
  <w:style w:type="paragraph" w:styleId="Footer">
    <w:name w:val="footer"/>
    <w:basedOn w:val="Normal"/>
    <w:link w:val="FooterChar"/>
    <w:uiPriority w:val="99"/>
    <w:unhideWhenUsed/>
    <w:rsid w:val="00234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045"/>
  </w:style>
  <w:style w:type="numbering" w:customStyle="1" w:styleId="CurrentList1">
    <w:name w:val="Current List1"/>
    <w:uiPriority w:val="99"/>
    <w:rsid w:val="00A231B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FB9429F5786546B29A62D9D872614D" ma:contentTypeVersion="18" ma:contentTypeDescription="Create a new document." ma:contentTypeScope="" ma:versionID="3ba8a44a6e0e429bd060dffbe304608e">
  <xsd:schema xmlns:xsd="http://www.w3.org/2001/XMLSchema" xmlns:xs="http://www.w3.org/2001/XMLSchema" xmlns:p="http://schemas.microsoft.com/office/2006/metadata/properties" xmlns:ns1="http://schemas.microsoft.com/sharepoint/v3" xmlns:ns2="39b2b824-785f-406b-9aa1-5395bbfc7a7b" xmlns:ns3="8909ec65-47d4-40d5-a864-a42d03d5f22b" targetNamespace="http://schemas.microsoft.com/office/2006/metadata/properties" ma:root="true" ma:fieldsID="e19040aeb673fc8ce9a994027605440f" ns1:_="" ns2:_="" ns3:_="">
    <xsd:import namespace="http://schemas.microsoft.com/sharepoint/v3"/>
    <xsd:import namespace="39b2b824-785f-406b-9aa1-5395bbfc7a7b"/>
    <xsd:import namespace="8909ec65-47d4-40d5-a864-a42d03d5f2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b2b824-785f-406b-9aa1-5395bbfc7a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245e245-55a4-4bcc-ab96-b89ed28fe9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09ec65-47d4-40d5-a864-a42d03d5f2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91ab6f1-728d-480a-b909-88bf2b3b2e2c}" ma:internalName="TaxCatchAll" ma:showField="CatchAllData" ma:web="8909ec65-47d4-40d5-a864-a42d03d5f2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b2b824-785f-406b-9aa1-5395bbfc7a7b">
      <Terms xmlns="http://schemas.microsoft.com/office/infopath/2007/PartnerControls"/>
    </lcf76f155ced4ddcb4097134ff3c332f>
    <_ip_UnifiedCompliancePolicyUIAction xmlns="http://schemas.microsoft.com/sharepoint/v3" xsi:nil="true"/>
    <TaxCatchAll xmlns="8909ec65-47d4-40d5-a864-a42d03d5f22b"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EF15506-4E3D-4A56-AD7E-1DEEE5963EDE}"/>
</file>

<file path=customXml/itemProps2.xml><?xml version="1.0" encoding="utf-8"?>
<ds:datastoreItem xmlns:ds="http://schemas.openxmlformats.org/officeDocument/2006/customXml" ds:itemID="{0ACBCF56-D504-4A90-8E6C-C7AAAFC78490}"/>
</file>

<file path=customXml/itemProps3.xml><?xml version="1.0" encoding="utf-8"?>
<ds:datastoreItem xmlns:ds="http://schemas.openxmlformats.org/officeDocument/2006/customXml" ds:itemID="{0E887800-CB5A-46E6-8E38-97FA93D0F2BD}"/>
</file>

<file path=docProps/app.xml><?xml version="1.0" encoding="utf-8"?>
<Properties xmlns="http://schemas.openxmlformats.org/officeDocument/2006/extended-properties" xmlns:vt="http://schemas.openxmlformats.org/officeDocument/2006/docPropsVTypes">
  <Template>Normal.dotm</Template>
  <TotalTime>7</TotalTime>
  <Pages>4</Pages>
  <Words>1022</Words>
  <Characters>5831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Tatlock</dc:creator>
  <cp:keywords/>
  <dc:description/>
  <cp:lastModifiedBy>Luke Abraham</cp:lastModifiedBy>
  <cp:revision>2</cp:revision>
  <dcterms:created xsi:type="dcterms:W3CDTF">2022-11-05T15:07:00Z</dcterms:created>
  <dcterms:modified xsi:type="dcterms:W3CDTF">2022-11-05T15:07:00Z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0x010100E6FB9429F5786546B29A62D9D872614D</vt:lpwstr>
  </property>
</Properties>
</file>